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УДК 613.6(477)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2"/>
        <w:ind w:left="20" w:right="180" w:firstLine="0"/>
      </w:pPr>
      <w:r>
        <w:rPr>
          <w:lang w:val="ru-RU"/>
          <w:w w:val="100"/>
          <w:spacing w:val="0"/>
          <w:color w:val="000000"/>
          <w:position w:val="0"/>
        </w:rPr>
        <w:t>СРАВНИТЕЛЬНАЯ ГИГИЕНИЧЕСКАЯ ХАРАКТЕРИСТИКА МУТАГЕННОГО ВОЗДЕЙСТВИЯ ПРОИЗВОДСТВЕННЫХ ФАКТОРОВ НА НАСЕЛЕНИЕ В ПРОМЫШЛЕННОЙ И СЕЛИТЕБНОЙ ЗОНАХ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99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Сергеева Л.А,, Степанова М.Г., Важева А.А., Курбатов В.В., Кочмар В.А.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 xml:space="preserve">Донецкая область относится к экологически напряжённым регионам Украины. На Донбассе сконцентрированы около 2 тыс. промышленных предприятий. Очень острыми проблемами в области являются загрязнение воздушного и водного бассейнов, накопление вредных отходов. В 1999 г. выброс вредных веществ составил 24 </w:t>
      </w:r>
      <w:r>
        <w:rPr>
          <w:rStyle w:val="CharStyle5"/>
          <w:lang w:val="ru-RU"/>
        </w:rPr>
        <w:t>%</w:t>
      </w:r>
      <w:r>
        <w:rPr>
          <w:lang w:val="ru-RU"/>
          <w:w w:val="100"/>
          <w:spacing w:val="0"/>
          <w:color w:val="000000"/>
          <w:position w:val="0"/>
        </w:rPr>
        <w:t xml:space="preserve"> от их общего количества на Украине ( 986,2 млн. м куб.),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>В данной работе рассмотрены вопросы загрязнения мутагенными факторами .воздушного бассейна городов с горно-коксохимическо- металлургической и металлургической промышленностью.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>Одним из крупных городов области является г. Краматорск. В нем находятся 10 предприятий, на данный момент работают - 6 заводов (металлургического и машиностроительного профиля). Выбросы Краматорских предприятий составляют 40% от того, что выбрасывают в атмосферу металлургические предприятия всей области. По данным СЭС из 16 проверенных ингредиентов 8 показали превышение ПДК. В самом же областном центре развита - угольная, металлургическая, коксохимическая промышленность. В данное время городские СЭС свидетельствуют, что в последние годы на предприятиях были выполнены ряд воздухоохранных мероприятий. Но даже снижение их выбросов в атмосферу, с расчетом спада производства, и выполнение мер по защите воздуха от загрязнений не привело к улучшению экологической ситуации в обследуемых городах.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>Среди химических соединений, есть вещества, имеющие существенную мутагенную активность, которая в сотни раз превышает подобную активность одноминутной радиации [2, 3]. Основными химическими мутагенами в окружающей среде являются вещества как природные, так и антропогенные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35" w:lineRule="exact"/>
        <w:ind w:left="80" w:right="20" w:firstLine="500"/>
      </w:pPr>
      <w:r>
        <w:rPr>
          <w:lang w:val="ru-RU"/>
          <w:w w:val="100"/>
          <w:spacing w:val="0"/>
          <w:color w:val="000000"/>
          <w:position w:val="0"/>
        </w:rPr>
        <w:t>При сравнении суточного потребления тяжелых металлов на 1 человека в г. Донецке и г. Краматорске, было установлено, что суммарное попадание свинца в организм людей в целом в Донецке превышает в 1,82 раза, чем в Краматорске, но не превышает допустимую суточную дозу нагрузки. Основная роль попадания свинца в взрослый организм принадлежит пищевым продуктам (в 8,2 раза больше, чем через питьевую воду в Краматорске ив 15,1 раз в Донецке); Незначительное попадание свинца в организм человека происходит через атмосферный воздух. Из-за! повышенного воздухообмена в дыхательной системе организма детей, становится --очевидным, что суммарная доза свинца (Дф), попадаемая в организм детей в возрасте 6 лет в 1,79—1,96 раза больше, чем в организм матери (женщины 22—25 лет). Это создает большую опасность относительно здоровья детей.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35" w:lineRule="exact"/>
        <w:ind w:left="80" w:right="20" w:firstLine="500"/>
      </w:pPr>
      <w:r>
        <w:rPr>
          <w:lang w:val="ru-RU"/>
          <w:w w:val="100"/>
          <w:spacing w:val="0"/>
          <w:color w:val="000000"/>
          <w:position w:val="0"/>
        </w:rPr>
        <w:t>Сравнивая фактическую суточную дозу поступления свинца с суммарной дозой свинца, рассчитанной по ПДК, получаем индекс потенциальной опасности Кдф фактического загрязнения окружающей среды: Кдф = Дф РЬ / ПДК РЬ = 5,77мкг/кг массы тела чел./сут. 14мкг/кг тела чел. /сут =0,41 (г. Краматорск ); Кдф= 6,83 мкг/кг массы тела чел./сут./14мкг/кг тела чел./сут = 0,49.(г. Донецк). Хотя, как видим из расчетов, что данные потенциальной опасности фактического загрязнения не превышают единицы, а следовательно, являются допустимыми.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35" w:lineRule="exact"/>
        <w:ind w:left="80" w:right="20" w:firstLine="500"/>
      </w:pPr>
      <w:r>
        <w:rPr>
          <w:lang w:val="ru-RU"/>
          <w:w w:val="100"/>
          <w:spacing w:val="0"/>
          <w:color w:val="000000"/>
          <w:position w:val="0"/>
        </w:rPr>
        <w:t>Теперь проанализируем суммарные суточные дозы меди, попадающие в организм человека с едой, водой, атмосферным воздухом. В процентном содержании это составляет, что в Донецке медь в 44% проникает через йищевые продукты, в 2% - через питьевую воду, в 0,091% - через атмосферный воздух, а в Краматорске через пищевые продукты поступает 15% меди, питьевую воду •*%</w:t>
      </w:r>
    </w:p>
    <w:p>
      <w:pPr>
        <w:pStyle w:val="Style3"/>
        <w:numPr>
          <w:ilvl w:val="0"/>
          <w:numId w:val="1"/>
        </w:numPr>
        <w:tabs>
          <w:tab w:leader="none" w:pos="8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5" w:lineRule="exact"/>
        <w:ind w:left="80" w:right="20" w:firstLine="0"/>
      </w:pPr>
      <w:r>
        <w:rPr>
          <w:lang w:val="ru-RU"/>
          <w:w w:val="100"/>
          <w:spacing w:val="0"/>
          <w:color w:val="000000"/>
          <w:position w:val="0"/>
        </w:rPr>
        <w:t>043%, атмосферный воздух —- 0,001%. Но эти данные не превышают ПДК. Даже дозы попадания меди в организм детей входят в предельно допустимые концентрации.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35" w:lineRule="exact"/>
        <w:ind w:left="80" w:right="20" w:firstLine="500"/>
      </w:pPr>
      <w:r>
        <w:rPr>
          <w:lang w:val="ru-RU"/>
          <w:w w:val="100"/>
          <w:spacing w:val="0"/>
          <w:color w:val="000000"/>
          <w:position w:val="0"/>
        </w:rPr>
        <w:t xml:space="preserve">Хуже всего дела обстоят с содержанием в организме цинка. Суммарные суточные дозы, которые поступают в организм человека с едой, водой, через объем вдыхаемого воздуха свительствуют о следующем. Здесь так же ведущую роль занимают пищевые продукты — 62% в Донецке, и 4% в Краматорске. Но и большой </w:t>
      </w:r>
      <w:r>
        <w:rPr>
          <w:rStyle w:val="CharStyle6"/>
        </w:rPr>
        <w:t>неорганические (оксиды азота, нитраты, свинец), переработанные природные (продукты нефти, уголь), синтезированные (пестициды, пищевые добавки, лекарственные препараты). Около 10% активных химических соединений проявляют мутагенную активность, а по исследованиям проф. Бочкова Н.П [2] были опубликованы результаты изучения мутагенного действия 11,5 тыс. химических соединений, причем мутагены среди них — исчисляются уже сотнями.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500"/>
      </w:pPr>
      <w:r>
        <w:rPr>
          <w:lang w:val="ru-RU"/>
          <w:w w:val="100"/>
          <w:spacing w:val="0"/>
          <w:color w:val="000000"/>
          <w:position w:val="0"/>
        </w:rPr>
        <w:t>Такие вещества, небезопасные даже в очень низких концентрациях, не определяются во время обыкновенного химического анализа. В этом случае только тест на мутагенность позволит определить степень генетической опасности окружающей среды для организма человека.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500"/>
      </w:pPr>
      <w:r>
        <w:rPr>
          <w:lang w:val="ru-RU"/>
          <w:w w:val="100"/>
          <w:spacing w:val="0"/>
          <w:color w:val="000000"/>
          <w:position w:val="0"/>
        </w:rPr>
        <w:t>Мутагенез — это процесс, связанный, в основном, с алкилированием азотистых оснований ДНК. В живой клетке большинство реакций разрыва подобных связей в хромосомах приводят к образованию фрагментов молекул ДНК, при этом химические вещества могут быть активированы микросомальными ферментами. Но, все же, мутагены, будучи сильными электрофильными реагентами, и без участия ферментов связываются с нуклеиновыми кислотами (ДНК и РНК), составляющими генетическую информацию клеток, нарушая этим существующее равновесие генетических структур в популяции людей и в организме человека.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500"/>
      </w:pPr>
      <w:r>
        <w:rPr>
          <w:lang w:val="ru-RU"/>
          <w:w w:val="100"/>
          <w:spacing w:val="0"/>
          <w:color w:val="000000"/>
          <w:position w:val="0"/>
        </w:rPr>
        <w:t>Поэтому, целью исследования была апробация разработанной в ДонДМУ методики [4] определения суммарной мутагенной активности проб атмосферного воздуха на нативной ДНК.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500"/>
      </w:pPr>
      <w:r>
        <w:rPr>
          <w:lang w:val="ru-RU"/>
          <w:w w:val="100"/>
          <w:spacing w:val="0"/>
          <w:color w:val="000000"/>
          <w:position w:val="0"/>
        </w:rPr>
        <w:t>Объектом эколого-гигиенических исследований был воздух. Работа была проведена с помощью городских СЭС г.г. Донецка и Краматорска по отбору проб атмосферного воздуха на фильтры АФА ХА-20 в промышленных и селитебных зонах.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500"/>
      </w:pPr>
      <w:r>
        <w:rPr>
          <w:lang w:val="ru-RU"/>
          <w:w w:val="100"/>
          <w:spacing w:val="0"/>
          <w:color w:val="000000"/>
          <w:position w:val="0"/>
        </w:rPr>
        <w:t>Степень загрязнения атмосферного воздуха оценивались по результатам отбора на стационарных постах и под факелом выброса химических веществ в атмосферу промышленным предприятием. В районах, размещения 100м от завода и в стационарных точках С-Ю-З-В-Ц, отбирали пробы атмосферного воздуха городов Краматорска и Донецка, кон центрировали на фильтры АФА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ХА-20 в объеме 100 м куб. и определяли мутагенную активность пылевых частичек на нативной ДНК в пробирках.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>Для этого фильтры последовательно экстрагировали эфиром, этанолом и водой. Затем всю спиртово-этанольную и водную фракции от каждой пробы выпаривали для дальнейшего тестирования. Экстракты химических веществ растворяли в диметилсульфациле из расчета 1мл : 100м</w:t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/>
          <w:w w:val="100"/>
          <w:spacing w:val="0"/>
          <w:color w:val="000000"/>
          <w:position w:val="0"/>
        </w:rPr>
        <w:t>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>Одновременно готовили раствор 0,2% ДНК из эритроцитов цыплят. В каждую пробирку помещали по 0,5мл 0,2% ДНК, по 0,1мл исследуемого экстракта химических веществ, по 0,4 мл физиологического раствора. В контрольную пробирку вместо исследуемого раствора добавляли еще 0,1 мл физиологического раствора. Потом проводили инкубацию проб в течение 30 минут в темном месте при комнатной температуре. После инкубации добавляли 2,0 мл 0,1 н. соляной кислоты и через 10 минут измеряли экстинцию растворов ДНК на ФЭКе при длине волны 315 нм (зеленый светофильтр).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>В табл.1 представлены результаты исследований общей мутагенной активности проб атмосферного воздуха 2-х промышленных городов Донецкого региона. Необходимо отметить, что мы намерено, представили данные в % и в экстинции растворов ДНК при длине волны 315 нм, без перерасчета на концентрацию по калибровочной кривой, выраженной в молях ДНК, чтобы показать, как работает методика.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00"/>
      </w:pPr>
      <w:r>
        <w:rPr>
          <w:lang w:val="ru-RU"/>
          <w:w w:val="100"/>
          <w:spacing w:val="0"/>
          <w:color w:val="000000"/>
          <w:position w:val="0"/>
        </w:rPr>
        <w:t>Проведенные эксперименты показали, что суммарная мутагенная активность проб атмосферного воздуха в г.Донецке была выше, чем в г. Краматорске, причем и в стационарных точках отбора ( на 10,36%), и при подфакельных отборах (на 9,5%). В среднем, концентрация ДНК в пробах при стационарном отборе в г. Донецке была равна 88,7±5,5% , а при подфакельном - 82,3±2,9%, то есть на 6,4% активность мутагенов была выше в атмосферном воздухе в производственных условиях. Концентрация ДНК в пробах атмосферного воздуха г. Краматорска на стационарных постах в селитебной зоне была равна 99,13±4,7% в среднем, а рядом с металлургическим комбинатом - 93,8±9,4%, то есть на 5,3% мутагенная активность химических соединений в условиях производства была выше, чем в населенном пункте.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Эти результаты согласуются с определениями степеней загрязнения атмосферного воздуха по комплексному показателю Р, рассчитанного по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80" w:right="80" w:firstLine="0"/>
      </w:pPr>
      <w:r>
        <w:rPr>
          <w:lang w:val="ru-RU"/>
          <w:w w:val="100"/>
          <w:spacing w:val="0"/>
          <w:color w:val="000000"/>
          <w:position w:val="0"/>
        </w:rPr>
        <w:t>среднесуточным годовым концентрациям 11 химических ксенобиотиков: в г. Донецке он соответствовал -53,3 (очень сильное загрязнение), а в г. Краматорске - 16,3 (умеренное загрязнение).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3" w:line="200" w:lineRule="exact"/>
        <w:ind w:left="5340" w:right="0" w:firstLine="0"/>
      </w:pPr>
      <w:r>
        <w:rPr>
          <w:lang w:val="ru-RU"/>
          <w:w w:val="100"/>
          <w:spacing w:val="0"/>
          <w:color w:val="000000"/>
          <w:position w:val="0"/>
        </w:rPr>
        <w:t>Таблица 1.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6" w:line="223" w:lineRule="exact"/>
        <w:ind w:left="80" w:right="540" w:firstLine="0"/>
      </w:pPr>
      <w:r>
        <w:rPr>
          <w:lang w:val="ru-RU"/>
          <w:w w:val="100"/>
          <w:spacing w:val="0"/>
          <w:color w:val="000000"/>
          <w:position w:val="0"/>
        </w:rPr>
        <w:t>Сравнительная характеристика суммарной мутагенной активности проб атмосферного воздуха двух промышленных городов</w:t>
      </w:r>
    </w:p>
    <w:tbl>
      <w:tblPr>
        <w:tblOverlap w:val="never"/>
        <w:tblLayout w:type="fixed"/>
        <w:jc w:val="center"/>
      </w:tblPr>
      <w:tblGrid>
        <w:gridCol w:w="1355"/>
        <w:gridCol w:w="1342"/>
        <w:gridCol w:w="1342"/>
        <w:gridCol w:w="1342"/>
        <w:gridCol w:w="1348"/>
      </w:tblGrid>
      <w:tr>
        <w:trPr>
          <w:trHeight w:val="2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9" w:lineRule="exact"/>
              <w:ind w:left="80" w:right="0" w:firstLine="0"/>
            </w:pPr>
            <w:r>
              <w:rPr>
                <w:rStyle w:val="CharStyle8"/>
              </w:rPr>
              <w:t>Название</w:t>
            </w:r>
          </w:p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9" w:lineRule="exact"/>
              <w:ind w:left="80" w:right="0" w:firstLine="0"/>
            </w:pPr>
            <w:r>
              <w:rPr>
                <w:rStyle w:val="CharStyle8"/>
              </w:rPr>
              <w:t>проб</w:t>
            </w:r>
          </w:p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9" w:lineRule="exact"/>
              <w:ind w:left="80" w:right="0" w:firstLine="0"/>
            </w:pPr>
            <w:r>
              <w:rPr>
                <w:rStyle w:val="CharStyle8"/>
              </w:rPr>
              <w:t>атмосферного</w:t>
            </w:r>
          </w:p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9" w:lineRule="exact"/>
              <w:ind w:left="80" w:right="0" w:firstLine="0"/>
            </w:pPr>
            <w:r>
              <w:rPr>
                <w:rStyle w:val="CharStyle8"/>
              </w:rPr>
              <w:t>воздуха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Содержание ДНК в пробе (п=10)</w:t>
            </w:r>
          </w:p>
        </w:tc>
      </w:tr>
      <w:tr>
        <w:trPr>
          <w:trHeight w:val="22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120" w:right="0" w:firstLine="0"/>
            </w:pPr>
            <w:r>
              <w:rPr>
                <w:rStyle w:val="CharStyle8"/>
              </w:rPr>
              <w:t>Краматорск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60" w:right="0" w:firstLine="0"/>
            </w:pPr>
            <w:r>
              <w:rPr>
                <w:rStyle w:val="CharStyle8"/>
              </w:rPr>
              <w:t>Донецк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Е), 315нм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%ДНК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Б, 315 нм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%ДНК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Контроль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1,729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100</w:t>
            </w:r>
          </w:p>
        </w:tc>
      </w:tr>
      <w:tr>
        <w:trPr>
          <w:trHeight w:val="2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9" w:lineRule="exact"/>
              <w:ind w:left="80" w:right="0" w:firstLine="0"/>
            </w:pPr>
            <w:r>
              <w:rPr>
                <w:rStyle w:val="CharStyle8"/>
              </w:rPr>
              <w:t>Подфакель- ные, 100м от металлурги</w:t>
              <w:softHyphen/>
              <w:t>ческого комбината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1,673±0Д5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96,76±3,4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1,474±0,03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85,25±8,4</w:t>
            </w:r>
          </w:p>
        </w:tc>
      </w:tr>
      <w:tr>
        <w:trPr>
          <w:trHeight w:val="22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1,626±0,28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94,04±8,5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1,427±0,12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82,53±5,3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1,5720±0,06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57,8±6,0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1,373±0,06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79,41 ±7,9</w:t>
            </w:r>
          </w:p>
        </w:tc>
      </w:tr>
      <w:tr>
        <w:trPr>
          <w:trHeight w:val="4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1,616±0,08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93,94±8,2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1,417±0,03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81,95±1,4</w:t>
            </w:r>
          </w:p>
        </w:tc>
      </w:tr>
      <w:tr>
        <w:trPr>
          <w:trHeight w:val="22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9" w:lineRule="exact"/>
              <w:ind w:left="80" w:right="0" w:firstLine="0"/>
            </w:pPr>
            <w:r>
              <w:rPr>
                <w:rStyle w:val="CharStyle8"/>
              </w:rPr>
              <w:t>Стационарные посты в населенных пунктах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1,714=1=0,13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99,13±3,1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1,535±0,26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88,77±7,7</w:t>
            </w:r>
          </w:p>
        </w:tc>
      </w:tr>
      <w:tr>
        <w:trPr>
          <w:trHeight w:val="22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1,726*0,09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99,82±3,7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1,547±0,11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89,47±2,8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1,717±0,25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99,3±4,7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1,538±0,08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88,95±6,3</w:t>
            </w:r>
          </w:p>
        </w:tc>
      </w:tr>
      <w:tr>
        <w:trPr>
          <w:trHeight w:val="24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67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1,701±0,31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98,3 8±6,2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8"/>
              </w:rPr>
              <w:t>1,522±0,07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0" w:right="0" w:firstLine="0"/>
            </w:pPr>
            <w:r>
              <w:rPr>
                <w:rStyle w:val="CharStyle8"/>
              </w:rPr>
              <w:t>88,03±4,5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222" w:after="0" w:line="298" w:lineRule="exact"/>
        <w:ind w:left="80" w:right="80" w:firstLine="580"/>
      </w:pPr>
      <w:r>
        <w:rPr>
          <w:lang w:val="ru-RU"/>
          <w:w w:val="100"/>
          <w:spacing w:val="0"/>
          <w:color w:val="000000"/>
          <w:position w:val="0"/>
        </w:rPr>
        <w:t xml:space="preserve">"Таким образом, методика суммарной мутагенной активности проб атмосферного воздуха может иметь значение для определения генетической опасности </w:t>
      </w:r>
      <w:r>
        <w:rPr>
          <w:rStyle w:val="CharStyle9"/>
        </w:rPr>
        <w:t xml:space="preserve">для </w:t>
      </w:r>
      <w:r>
        <w:rPr>
          <w:lang w:val="ru-RU"/>
          <w:w w:val="100"/>
          <w:spacing w:val="0"/>
          <w:color w:val="000000"/>
          <w:position w:val="0"/>
        </w:rPr>
        <w:t>населения производственных выбросов, даже если количественные характеристики вредностей не превышают предельно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допустимые концентрации.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2" w:lineRule="exact"/>
        <w:ind w:left="1900" w:right="0" w:firstLine="0"/>
      </w:pPr>
      <w:r>
        <w:rPr>
          <w:lang w:val="ru-RU"/>
          <w:w w:val="100"/>
          <w:spacing w:val="0"/>
          <w:color w:val="000000"/>
          <w:position w:val="0"/>
        </w:rPr>
        <w:t>Список литературы:</w:t>
      </w:r>
    </w:p>
    <w:p>
      <w:pPr>
        <w:pStyle w:val="Style3"/>
        <w:numPr>
          <w:ilvl w:val="0"/>
          <w:numId w:val="3"/>
        </w:numPr>
        <w:tabs>
          <w:tab w:leader="none" w:pos="8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2" w:lineRule="exact"/>
        <w:ind w:left="80" w:right="380" w:firstLine="580"/>
      </w:pPr>
      <w:r>
        <w:rPr>
          <w:lang w:val="ru-RU"/>
          <w:w w:val="100"/>
          <w:spacing w:val="0"/>
          <w:color w:val="000000"/>
          <w:position w:val="0"/>
        </w:rPr>
        <w:t>Барышников И.И. Критерии оценки здоровья населения и качества среды обигания//Токсикологический весник-1996.-№4.-С. 18-19.</w:t>
      </w:r>
    </w:p>
    <w:p>
      <w:pPr>
        <w:pStyle w:val="Style3"/>
        <w:numPr>
          <w:ilvl w:val="0"/>
          <w:numId w:val="3"/>
        </w:numPr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2" w:lineRule="exact"/>
        <w:ind w:left="80" w:right="380" w:firstLine="580"/>
      </w:pPr>
      <w:r>
        <w:rPr>
          <w:lang w:val="ru-RU"/>
          <w:w w:val="100"/>
          <w:spacing w:val="0"/>
          <w:color w:val="000000"/>
          <w:position w:val="0"/>
        </w:rPr>
        <w:t>Бочков Н.П., Катаева Л.Д. Наследственность человека и мутагены внешней среды-М.: Мед., 1998.-272с.</w:t>
      </w:r>
    </w:p>
    <w:p>
      <w:pPr>
        <w:pStyle w:val="Style3"/>
        <w:numPr>
          <w:ilvl w:val="0"/>
          <w:numId w:val="3"/>
        </w:numPr>
        <w:tabs>
          <w:tab w:leader="none" w:pos="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80" w:right="0" w:firstLine="580"/>
      </w:pPr>
      <w:r>
        <w:rPr>
          <w:lang w:val="ru-RU"/>
          <w:w w:val="100"/>
          <w:spacing w:val="0"/>
          <w:color w:val="000000"/>
          <w:position w:val="0"/>
        </w:rPr>
        <w:t>Дубинин Н.П. Общая генетика.- М. Наука, 1986.- 222с.</w:t>
      </w:r>
    </w:p>
    <w:p>
      <w:pPr>
        <w:pStyle w:val="Style3"/>
        <w:numPr>
          <w:ilvl w:val="0"/>
          <w:numId w:val="3"/>
        </w:numPr>
        <w:tabs>
          <w:tab w:leader="none" w:pos="8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80" w:right="380" w:firstLine="580"/>
      </w:pPr>
      <w:r>
        <w:rPr>
          <w:lang w:val="ru-RU"/>
          <w:w w:val="100"/>
          <w:spacing w:val="0"/>
          <w:color w:val="000000"/>
          <w:position w:val="0"/>
        </w:rPr>
        <w:t>Уманський В.Я., Гринь М.В., Сергеева Л*А., Бар’яхтар М.Г. Спос1б визначення сумарноТ мутагенноТ активносп атмосферного повггря.- Декларацшний патент на винах!д.УкраГна.-15.03.2001 .-Бюл.№2.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3142" w:left="2892" w:right="1789" w:bottom="363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,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Sylfaen" w:eastAsia="Sylfaen" w:hAnsi="Sylfaen" w:cs="Sylfae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</w:rPr>
  </w:style>
  <w:style w:type="character" w:customStyle="1" w:styleId="CharStyle5">
    <w:name w:val="Основной текст + Курсив"/>
    <w:basedOn w:val="CharStyle4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6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Sylfaen" w:eastAsia="Sylfaen" w:hAnsi="Sylfaen" w:cs="Sylfaen"/>
    </w:rPr>
  </w:style>
  <w:style w:type="character" w:customStyle="1" w:styleId="CharStyle8">
    <w:name w:val="Основной текст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9">
    <w:name w:val="Основной текст + 9,5 pt"/>
    <w:basedOn w:val="CharStyle4"/>
    <w:rPr>
      <w:lang w:val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32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</w:rPr>
  </w:style>
  <w:style w:type="paragraph" w:customStyle="1" w:styleId="Style7">
    <w:name w:val="Основной текст (2)"/>
    <w:basedOn w:val="Normal"/>
    <w:link w:val="CharStyle6"/>
    <w:pPr>
      <w:widowControl w:val="0"/>
      <w:shd w:val="clear" w:color="auto" w:fill="FFFFFF"/>
      <w:jc w:val="both"/>
      <w:spacing w:line="30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